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4F" w:rsidRDefault="00B7614F" w:rsidP="00B7614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B7614F" w:rsidRPr="007300B5" w:rsidRDefault="00B7614F" w:rsidP="00B7614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4F" w:rsidRPr="007300B5" w:rsidRDefault="00B7614F" w:rsidP="00B7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7614F" w:rsidRPr="007300B5" w:rsidRDefault="00B7614F" w:rsidP="00B7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B7614F" w:rsidRDefault="00B7614F" w:rsidP="00B7614F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9E3DB8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B7614F" w:rsidRPr="00B7614F" w:rsidRDefault="00B7614F" w:rsidP="00B761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Ханты-Мансийского автономного округа - Югры</w:t>
      </w:r>
    </w:p>
    <w:p w:rsidR="00B7614F" w:rsidRDefault="00B7614F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9E3DB8" w:rsidRDefault="009E3DB8" w:rsidP="009E3DB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3DB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4929" w:rsidRPr="00B7614F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40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B0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</w:t>
      </w:r>
      <w:r w:rsidR="009E3D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                               </w:t>
      </w:r>
      <w:r w:rsidR="00B7614F"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6B0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977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06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191</w:t>
      </w:r>
    </w:p>
    <w:p w:rsidR="00194929" w:rsidRPr="00B7614F" w:rsidRDefault="00B7614F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B7614F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4615F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B0A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Русскинская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8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ABF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0AB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6B0A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</w:t>
      </w:r>
      <w:proofErr w:type="gramStart"/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осуществлении муниципального контроля за обеспечением сохранности автомобильных дорог ме</w:t>
      </w:r>
      <w:r w:rsidR="00392C82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="006B0ABF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B0ABF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0AB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годо</w:t>
      </w:r>
      <w:proofErr w:type="gramStart"/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F2C5C">
        <w:rPr>
          <w:rFonts w:ascii="Times New Roman" w:eastAsia="Times New Roman" w:hAnsi="Times New Roman" w:cs="Times New Roman"/>
          <w:sz w:val="28"/>
          <w:szCs w:val="28"/>
        </w:rPr>
        <w:t>далее по тексту – «Программа»), согласно приложению к настоящему постановлению.</w:t>
      </w:r>
    </w:p>
    <w:p w:rsidR="00194929" w:rsidRPr="002F2C5C" w:rsidRDefault="00B7614F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proofErr w:type="gramStart"/>
      <w:r w:rsidR="007A2DF1" w:rsidRPr="007A2DF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7A2DF1" w:rsidRPr="007A2DF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</w:t>
      </w:r>
      <w:r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94929" w:rsidRPr="002F2C5C" w:rsidRDefault="00B7614F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9E3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января 2021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194929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4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proofErr w:type="gramStart"/>
      <w:r w:rsidR="00194929" w:rsidRPr="002F2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4929" w:rsidRPr="002F2C5C">
        <w:rPr>
          <w:rFonts w:ascii="Times New Roman" w:hAnsi="Times New Roman"/>
          <w:sz w:val="28"/>
          <w:szCs w:val="28"/>
        </w:rPr>
        <w:t xml:space="preserve"> выполнением постановления возл</w:t>
      </w:r>
      <w:r>
        <w:rPr>
          <w:rFonts w:ascii="Times New Roman" w:hAnsi="Times New Roman"/>
          <w:sz w:val="28"/>
          <w:szCs w:val="28"/>
        </w:rPr>
        <w:t xml:space="preserve">ожить на заместителя главы </w:t>
      </w:r>
      <w:r>
        <w:rPr>
          <w:rFonts w:ascii="Times New Roman" w:hAnsi="Times New Roman"/>
          <w:sz w:val="28"/>
          <w:szCs w:val="28"/>
        </w:rPr>
        <w:lastRenderedPageBreak/>
        <w:t>сель</w:t>
      </w:r>
      <w:r w:rsidR="00194929" w:rsidRPr="002F2C5C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Русскинская.</w:t>
      </w:r>
      <w:r w:rsidR="00194929" w:rsidRPr="002F2C5C">
        <w:rPr>
          <w:rFonts w:ascii="Times New Roman" w:hAnsi="Times New Roman"/>
          <w:sz w:val="28"/>
          <w:szCs w:val="28"/>
        </w:rPr>
        <w:t xml:space="preserve"> </w:t>
      </w:r>
    </w:p>
    <w:p w:rsidR="00B7614F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614F" w:rsidRPr="002F2C5C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B7614F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B7614F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B7614F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9601A2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94929" w:rsidRPr="004B483C" w:rsidRDefault="00B7614F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406F0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6B0ABF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B7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DB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6F0">
        <w:rPr>
          <w:rFonts w:ascii="Times New Roman" w:eastAsia="Times New Roman" w:hAnsi="Times New Roman" w:cs="Times New Roman"/>
          <w:sz w:val="24"/>
          <w:szCs w:val="24"/>
        </w:rPr>
        <w:t>191</w:t>
      </w:r>
    </w:p>
    <w:p w:rsidR="00194929" w:rsidRPr="000B19C2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FC1" w:rsidRDefault="007A2DF1" w:rsidP="00C25FC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</w:t>
      </w:r>
      <w:proofErr w:type="gramStart"/>
      <w:r w:rsidRPr="002F2C5C">
        <w:rPr>
          <w:rFonts w:ascii="Times New Roman" w:hAnsi="Times New Roman"/>
          <w:sz w:val="28"/>
          <w:szCs w:val="28"/>
        </w:rPr>
        <w:t>,у</w:t>
      </w:r>
      <w:proofErr w:type="gramEnd"/>
      <w:r w:rsidRPr="002F2C5C">
        <w:rPr>
          <w:rFonts w:ascii="Times New Roman" w:hAnsi="Times New Roman"/>
          <w:sz w:val="28"/>
          <w:szCs w:val="28"/>
        </w:rPr>
        <w:t>становленныхмуниципальными правовымиактами,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B0ABF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E3D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bookmarkStart w:id="0" w:name="_GoBack"/>
      <w:bookmarkEnd w:id="0"/>
    </w:p>
    <w:p w:rsidR="007A2DF1" w:rsidRPr="000B19C2" w:rsidRDefault="007A2DF1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04315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Анализ и оценка состояния подконтрольной сферы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392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</w:t>
      </w:r>
      <w:proofErr w:type="gramStart"/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proofErr w:type="gramEnd"/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14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 администрации сельского поселения Русскинская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B7614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Юридические лица, индивидуальные п</w:t>
      </w:r>
      <w:r w:rsidR="0087157C">
        <w:rPr>
          <w:rFonts w:ascii="Times New Roman" w:eastAsia="Times New Roman" w:hAnsi="Times New Roman" w:cs="Times New Roman"/>
          <w:sz w:val="28"/>
          <w:szCs w:val="28"/>
        </w:rPr>
        <w:t>редприниматели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, осуществляющие хозяйственную и (или) иную деятельность на территории городского поселения Федоровский.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 –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3E52E3" w:rsidRPr="00C15E25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</w:t>
      </w:r>
      <w:r w:rsidR="00276505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="003E52E3" w:rsidRPr="00C15E2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276505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507" w:rsidRDefault="001529FD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12,13 </w:t>
      </w:r>
      <w:r w:rsidR="00026C6B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26C6B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29FD">
        <w:rPr>
          <w:rFonts w:ascii="Times New Roman" w:eastAsia="Times New Roman" w:hAnsi="Times New Roman" w:cs="Times New Roman"/>
          <w:color w:val="000000"/>
          <w:sz w:val="28"/>
          <w:szCs w:val="28"/>
        </w:rPr>
        <w:t>от 10.12.1995 № 196-ФЗ «О безопасности дорожного движения»</w:t>
      </w:r>
      <w:r w:rsidR="00334F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026C6B" w:rsidRP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13,13.1,19,20,22,25,26,29</w:t>
      </w:r>
      <w:r w:rsidR="00036507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03650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36507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365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C01" w:rsidRPr="00637C01">
        <w:rPr>
          <w:rFonts w:ascii="Times New Roman" w:eastAsia="Times New Roman" w:hAnsi="Times New Roman" w:cs="Times New Roman"/>
          <w:color w:val="000000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676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14C" w:rsidRPr="00840C65" w:rsidRDefault="003A214C" w:rsidP="003A214C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3A214C" w:rsidRPr="00F00E58" w:rsidRDefault="009E3DB8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</w:t>
      </w:r>
      <w:r w:rsidR="003A214C" w:rsidRPr="00F00E58"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3A214C" w:rsidRPr="00F00E58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</w:t>
      </w:r>
      <w:r w:rsidR="003A214C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="000A0FC3" w:rsidRPr="00C15E25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Русскинская </w:t>
      </w:r>
      <w:r w:rsidR="003A214C">
        <w:rPr>
          <w:rFonts w:ascii="Times New Roman" w:hAnsi="Times New Roman"/>
          <w:color w:val="000000" w:themeColor="text1"/>
          <w:sz w:val="28"/>
          <w:szCs w:val="28"/>
        </w:rPr>
        <w:t xml:space="preserve">(далее – «муниципальный </w:t>
      </w:r>
      <w:r w:rsidR="000A0FC3">
        <w:rPr>
          <w:rFonts w:ascii="Times New Roman" w:hAnsi="Times New Roman"/>
          <w:color w:val="000000" w:themeColor="text1"/>
          <w:sz w:val="28"/>
          <w:szCs w:val="28"/>
        </w:rPr>
        <w:t xml:space="preserve">дорожный </w:t>
      </w:r>
      <w:r w:rsidR="003A214C">
        <w:rPr>
          <w:rFonts w:ascii="Times New Roman" w:hAnsi="Times New Roman"/>
          <w:color w:val="000000" w:themeColor="text1"/>
          <w:sz w:val="28"/>
          <w:szCs w:val="28"/>
        </w:rPr>
        <w:t>контроль»)</w:t>
      </w:r>
      <w:r w:rsidR="003A214C"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  <w:proofErr w:type="gramEnd"/>
    </w:p>
    <w:p w:rsidR="003A214C" w:rsidRPr="006E057B" w:rsidRDefault="00FF17AB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по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порядка оформления и содержании заданий, а также результатов мероприятия по контролю без взаимодействия с юридическими лицами, инд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ивидуальными предпринимателями»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 </w:t>
      </w:r>
      <w:r w:rsidR="00392C8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92C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 w:rsidR="003A214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дорожного </w:t>
      </w:r>
      <w:r w:rsidR="003A214C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214C" w:rsidRPr="006E057B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214C" w:rsidRPr="006E057B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214C" w:rsidRPr="00491A3F" w:rsidRDefault="003A214C" w:rsidP="003A214C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1.2.4.Анализ и оценка рисков причинения вреда охраняемым законом ценностям и (или) анализ и оценка причиненного ущерба.</w:t>
      </w:r>
    </w:p>
    <w:p w:rsidR="003A214C" w:rsidRDefault="006B0ABF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</w:t>
      </w:r>
      <w:r w:rsidR="009E3DB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3A214C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3A214C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3A214C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9061DF" w:rsidRPr="006E057B" w:rsidRDefault="009061DF" w:rsidP="009061D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9061DF" w:rsidRDefault="009061DF" w:rsidP="009061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</w:t>
      </w:r>
      <w:r w:rsidR="009E3DB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админист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рацией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</w:t>
      </w:r>
      <w:r w:rsidRPr="009061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контроль за обеспечением сохранности автомобильных дорог местного значения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</w:t>
      </w:r>
      <w:proofErr w:type="gramEnd"/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актами, в рамках осуществления </w:t>
      </w:r>
      <w:r w:rsidR="00F82EB2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дорожного контроля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27A1" w:rsidRPr="006E057B" w:rsidRDefault="00276505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сельского поселения Русскинская 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осуществления муниципального </w:t>
      </w:r>
      <w:r w:rsidR="005B1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дорожного 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ежегодно формируется и размещается на официальном сайте «Обзор обобщения практики осуществления муниципального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1EF0" w:rsidRPr="001D4BF0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F0" w:rsidRPr="001D4BF0">
        <w:rPr>
          <w:rFonts w:ascii="Times New Roman" w:eastAsia="Times New Roman" w:hAnsi="Times New Roman" w:cs="Times New Roman"/>
          <w:sz w:val="28"/>
          <w:szCs w:val="28"/>
        </w:rPr>
        <w:t>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сельского поселения Русскинская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недопущения таких нарушений».</w:t>
      </w:r>
    </w:p>
    <w:p w:rsidR="008D27A1" w:rsidRPr="006E057B" w:rsidRDefault="008D27A1" w:rsidP="008D27A1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также размещена и иная информация в сфере муниципального </w:t>
      </w:r>
      <w:r w:rsidR="00E9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8D27A1" w:rsidRPr="00EB56CF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="00E9431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муниципального дорожного контроля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8D27A1" w:rsidRPr="006E057B" w:rsidRDefault="008D27A1" w:rsidP="008D27A1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</w:t>
      </w:r>
      <w:r w:rsidR="009E3DB8">
        <w:rPr>
          <w:rFonts w:ascii="Times New Roman" w:eastAsia="Times New Roman" w:hAnsi="Times New Roman" w:cs="Times New Roman"/>
          <w:color w:val="000000"/>
          <w:sz w:val="28"/>
          <w:szCs w:val="28"/>
        </w:rPr>
        <w:t>ризвана обеспечить к 2023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создание условий для снижения случаев нарушения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повышения результативности и эффективности надзора в области муниципального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формирования заинтересованности подконтрольных субъектов в соблюдении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4315" w:rsidRPr="000B19C2" w:rsidRDefault="00204315" w:rsidP="00284E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84E93" w:rsidP="00A2062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Перечень программных мероприятий, связанных с созданием инфраструктуры и проведением профилактической работы, и график их реализ</w:t>
      </w:r>
      <w:r w:rsidR="0018327A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ации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механизмом оценки эффективности и результативности про</w:t>
      </w:r>
      <w:r w:rsid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филактических мероприятий являе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соблюдение </w:t>
      </w:r>
      <w:r w:rsidR="004001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</w:t>
      </w:r>
      <w:r w:rsidR="00EB56CF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действующего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</w:t>
      </w:r>
      <w:r w:rsidR="00376B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4315" w:rsidRPr="00F00E58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 показатель ка</w:t>
      </w:r>
      <w:r w:rsidR="006B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чества - последовательное, до </w:t>
      </w:r>
      <w:r w:rsidR="009E3DB8">
        <w:rPr>
          <w:rFonts w:ascii="Times New Roman" w:eastAsiaTheme="minorHAnsi" w:hAnsi="Times New Roman" w:cs="Times New Roman"/>
          <w:sz w:val="28"/>
          <w:szCs w:val="28"/>
          <w:lang w:eastAsia="en-US"/>
        </w:rPr>
        <w:t>2023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снижение рецидива нарушений </w:t>
      </w:r>
      <w:r w:rsidR="004001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 законодательства в</w:t>
      </w:r>
      <w:r w:rsidR="00376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подконтрольной сфере.</w:t>
      </w:r>
    </w:p>
    <w:p w:rsidR="00EB56CF" w:rsidRPr="00F00E58" w:rsidRDefault="00EB56CF" w:rsidP="00EB56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реализации 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E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рограммы: 2021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плановый период 202</w:t>
      </w:r>
      <w:r w:rsidR="009E3DB8">
        <w:rPr>
          <w:rFonts w:ascii="Times New Roman" w:eastAsiaTheme="minorHAnsi" w:hAnsi="Times New Roman" w:cs="Times New Roman"/>
          <w:sz w:val="28"/>
          <w:szCs w:val="28"/>
          <w:lang w:eastAsia="en-US"/>
        </w:rPr>
        <w:t>2 и 2023</w:t>
      </w:r>
      <w:r w:rsidR="006B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годов.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929" w:rsidRDefault="006073AB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6B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профилактике </w:t>
      </w:r>
      <w:r w:rsidR="009E3D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на 2021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A20629" w:rsidRPr="000B19C2" w:rsidRDefault="00A206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52"/>
        <w:gridCol w:w="2268"/>
        <w:gridCol w:w="3265"/>
      </w:tblGrid>
      <w:tr w:rsidR="00194929" w:rsidRPr="00A75DAE" w:rsidTr="00E00AB6">
        <w:tc>
          <w:tcPr>
            <w:tcW w:w="634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      </w: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</w:tcPr>
          <w:p w:rsidR="00194929" w:rsidRPr="00A75DAE" w:rsidRDefault="006073AB" w:rsidP="006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194929" w:rsidRPr="00A75DAE" w:rsidRDefault="009E3DB8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контроля на 2021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E3ADC" w:rsidRDefault="00C06BC0" w:rsidP="00AE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ADC" w:rsidRDefault="008538AD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E00AB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9E3DB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2022</w:t>
      </w:r>
      <w:r w:rsidR="007A6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9E3DB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</w:p>
    <w:p w:rsidR="00AE3ADC" w:rsidRPr="00A20629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9E3DB8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E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E3ADC" w:rsidRPr="00A75DAE" w:rsidRDefault="00AE3ADC" w:rsidP="007A62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местного самоуправления сельского поселения Русскинская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      </w: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9E3D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3ADC" w:rsidRPr="00A75DAE" w:rsidRDefault="00AE3ADC" w:rsidP="009E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2" w:type="dxa"/>
          </w:tcPr>
          <w:p w:rsidR="00AE3ADC" w:rsidRPr="00A75DAE" w:rsidRDefault="00AE3ADC" w:rsidP="009E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(на 202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годов)</w:t>
            </w:r>
          </w:p>
        </w:tc>
        <w:tc>
          <w:tcPr>
            <w:tcW w:w="1276" w:type="dxa"/>
          </w:tcPr>
          <w:p w:rsidR="00AE3ADC" w:rsidRPr="00A75DAE" w:rsidRDefault="00AE3ADC" w:rsidP="009E3D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3ADC" w:rsidRPr="00A75DAE" w:rsidRDefault="00AE3ADC" w:rsidP="009E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3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B19C2" w:rsidRDefault="00AE3ADC" w:rsidP="0000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3.1. Показатели</w:t>
      </w:r>
      <w:r w:rsidR="006B0ABF">
        <w:rPr>
          <w:rFonts w:ascii="Times New Roman" w:hAnsi="Times New Roman" w:cs="Times New Roman"/>
          <w:sz w:val="28"/>
          <w:szCs w:val="28"/>
        </w:rPr>
        <w:t xml:space="preserve"> эффективности Программы на 202</w:t>
      </w:r>
      <w:r w:rsidR="009E3DB8">
        <w:rPr>
          <w:rFonts w:ascii="Times New Roman" w:hAnsi="Times New Roman" w:cs="Times New Roman"/>
          <w:sz w:val="28"/>
          <w:szCs w:val="28"/>
        </w:rPr>
        <w:t>1</w:t>
      </w:r>
      <w:r w:rsidRPr="006E057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23AD9" w:rsidRPr="006937F8" w:rsidRDefault="006B0ABF" w:rsidP="0069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9E3D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E3DB8">
        <w:rPr>
          <w:rFonts w:ascii="Times New Roman" w:hAnsi="Times New Roman" w:cs="Times New Roman"/>
          <w:sz w:val="28"/>
          <w:szCs w:val="28"/>
        </w:rPr>
        <w:t>3</w:t>
      </w:r>
      <w:r w:rsidR="00B23AD9" w:rsidRPr="006E057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483C" w:rsidRPr="000B19C2" w:rsidRDefault="004B483C" w:rsidP="0000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9E3DB8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76F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776F7E" w:rsidRPr="00AF61EC" w:rsidRDefault="009E3DB8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6F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776F7E" w:rsidRPr="00AF61EC" w:rsidRDefault="009E3DB8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6F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00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4982"/>
    <w:multiLevelType w:val="multilevel"/>
    <w:tmpl w:val="873EF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6C6B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507"/>
    <w:rsid w:val="00036704"/>
    <w:rsid w:val="000369D3"/>
    <w:rsid w:val="0003760F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279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57E9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6E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0FC3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9C2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318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681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9FD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27A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2AC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263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749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5DB4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505"/>
    <w:rsid w:val="00276ACD"/>
    <w:rsid w:val="00276D1C"/>
    <w:rsid w:val="002777F2"/>
    <w:rsid w:val="00277E15"/>
    <w:rsid w:val="0028028C"/>
    <w:rsid w:val="002802A1"/>
    <w:rsid w:val="0028075A"/>
    <w:rsid w:val="00280ACC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93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3F5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04C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EF4"/>
    <w:rsid w:val="00333F31"/>
    <w:rsid w:val="00334F85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6F0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C82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214C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2E3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34E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64B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944"/>
    <w:rsid w:val="005B1BA2"/>
    <w:rsid w:val="005B1EF0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3AB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C01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7F8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ABF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2DF1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2E7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8AD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7C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9EC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7A1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1DF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1A2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29D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3F9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3DB8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16F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8DE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45FF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AD9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5FDA"/>
    <w:rsid w:val="00B7612E"/>
    <w:rsid w:val="00B7614F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A17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0A0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5E25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6A23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219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2D70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053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4CA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1EE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4E6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AB6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4041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310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A37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842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EB6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2EB2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59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7AB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A190-7AB4-4F23-98D5-42D3B89D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3</cp:revision>
  <cp:lastPrinted>2021-01-11T12:03:00Z</cp:lastPrinted>
  <dcterms:created xsi:type="dcterms:W3CDTF">2021-01-11T11:29:00Z</dcterms:created>
  <dcterms:modified xsi:type="dcterms:W3CDTF">2021-01-11T12:03:00Z</dcterms:modified>
</cp:coreProperties>
</file>