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1FA8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ДУМА СУРГУТСКОГО РАЙОНА ХАНТЫ-МАНСИЙСКОГО</w:t>
      </w:r>
      <w:r>
        <w:rPr>
          <w:b/>
          <w:bCs/>
        </w:rPr>
        <w:t xml:space="preserve"> АВТОНОМНОГО ОКРУГА - ЮГРЫ </w:t>
      </w: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РЕШЕНИЕ </w:t>
      </w: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10 июня 2021 года N 1143-нпа </w:t>
      </w: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генерального плана сельского поселения Русскинская Сургутского муниципального района Ханты-Мансийского автономного округа-Югры </w:t>
      </w:r>
    </w:p>
    <w:p w:rsidR="00000000" w:rsidRDefault="00611FA8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</w:instrText>
      </w:r>
      <w:r>
        <w:instrText>s://link/d?nd=901919338&amp;point=mark=000000000000000000000000000000000000000000000000008Q40M5"\o"’’Градостроительный кодекс Российской Федерации (с изменениями на 1 мая 2022 года)’’</w:instrText>
      </w:r>
    </w:p>
    <w:p w:rsidR="00000000" w:rsidRDefault="00611FA8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611FA8">
      <w:pPr>
        <w:pStyle w:val="FORMATTEXT"/>
        <w:ind w:firstLine="568"/>
        <w:jc w:val="both"/>
      </w:pPr>
      <w:r>
        <w:instrText>Статус: действующая редакция (действ. с 01.</w:instrText>
      </w:r>
      <w:r>
        <w:instrText>05.2022)"</w:instrText>
      </w:r>
      <w:r>
        <w:fldChar w:fldCharType="separate"/>
      </w:r>
      <w:r>
        <w:rPr>
          <w:color w:val="0000AA"/>
          <w:u w:val="single"/>
        </w:rPr>
        <w:t>статьями 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"kodeks://link/d?nd=901919338&amp;point=mark=000000000000000000000000000000000000000000000000008Q00M0"\o"’’Градостроительный кодекс Российской Федерации (с изменениями на 1 мая 2022 года)’’</w:instrText>
      </w:r>
    </w:p>
    <w:p w:rsidR="00000000" w:rsidRDefault="00611FA8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611FA8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"kodeks://link/d?nd=901919338&amp;point=mark=000000000000000000000000000000000000000000000000008QA0M3"\o"’’Градостроительный кодекс Российской Федерации (с изменениями на 1 мая 2022 года)’’</w:instrText>
      </w:r>
    </w:p>
    <w:p w:rsidR="00000000" w:rsidRDefault="00611FA8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611FA8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28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с решением </w:t>
      </w:r>
      <w:r>
        <w:fldChar w:fldCharType="begin"/>
      </w:r>
      <w:r>
        <w:instrText xml:space="preserve"> HYPERLINK "kodeks://link/d?nd=446498943"\o"’’О принятии и передаче части полномочий (с изменениями на</w:instrText>
      </w:r>
      <w:r>
        <w:instrText>: 26 ноября 2021 года)’’</w:instrText>
      </w:r>
    </w:p>
    <w:p w:rsidR="00000000" w:rsidRDefault="00611FA8">
      <w:pPr>
        <w:pStyle w:val="FORMATTEXT"/>
        <w:ind w:firstLine="568"/>
        <w:jc w:val="both"/>
      </w:pPr>
      <w:r>
        <w:instrText>Решение Думы Сургутского района Ханты-Мансийского автономного округа - Югры от 23.11.2017 N 267-нпа</w:instrText>
      </w:r>
    </w:p>
    <w:p w:rsidR="00000000" w:rsidRDefault="00611FA8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Думы Сургутского района от 23 ноября 2017 года N 267-нпа "О принятии и передаче части полномочий"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Дума С</w:t>
      </w:r>
      <w:r>
        <w:t>ургутского района решила: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"kodeks://link/d?nd=568273069&amp;point=mark=00000000000000000000000000000000000000000000000001E9ISD3"\o"’’Об утверждении генерального плана сельского поселения Русскинская Сургутского муниципального района ..</w:instrText>
      </w:r>
      <w:r>
        <w:instrText>.’’</w:instrText>
      </w:r>
    </w:p>
    <w:p w:rsidR="00000000" w:rsidRDefault="00611FA8">
      <w:pPr>
        <w:pStyle w:val="FORMATTEXT"/>
        <w:ind w:firstLine="568"/>
        <w:jc w:val="both"/>
      </w:pPr>
      <w:r>
        <w:instrText>Решение Думы Сургутского района Ханты-Мансийского автономного округа - Югры от 10.06.2021 N 1143-нпа</w:instrText>
      </w:r>
    </w:p>
    <w:p w:rsidR="00000000" w:rsidRDefault="00611FA8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генеральный план сельского поселения Русскинская Сургутского муниципального района Ханты-Мансийского автономного округа-Юг</w:t>
      </w:r>
      <w:r>
        <w:rPr>
          <w:color w:val="0000AA"/>
          <w:u w:val="single"/>
        </w:rPr>
        <w:t>ры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согласно </w:t>
      </w:r>
      <w:r>
        <w:fldChar w:fldCharType="begin"/>
      </w:r>
      <w:r>
        <w:instrText xml:space="preserve"> HYPERLINK "kodeks://link/d?nd=568273069&amp;point=mark=00000000000000000000000000000000000000000000000001E9ISD3"\o"’’Об утверждении генерального плана сельского поселения Русскинская Сургутского муниципального района ...’’</w:instrText>
      </w:r>
    </w:p>
    <w:p w:rsidR="00000000" w:rsidRDefault="00611FA8">
      <w:pPr>
        <w:pStyle w:val="FORMATTEXT"/>
        <w:ind w:firstLine="568"/>
        <w:jc w:val="both"/>
      </w:pPr>
      <w:r>
        <w:instrText>Решение Думы Сургутс</w:instrText>
      </w:r>
      <w:r>
        <w:instrText>кого района Ханты-Мансийского автономного округа - Югры от 10.06.2021 N 1143-нпа</w:instrText>
      </w:r>
    </w:p>
    <w:p w:rsidR="00000000" w:rsidRDefault="00611FA8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2. Решение вступает в силу после его официального опубликования (обнародования).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jc w:val="right"/>
      </w:pPr>
      <w:r>
        <w:t>Председатель Думы</w:t>
      </w:r>
    </w:p>
    <w:p w:rsidR="00000000" w:rsidRDefault="00611FA8">
      <w:pPr>
        <w:pStyle w:val="FORMATTEXT"/>
        <w:jc w:val="right"/>
      </w:pPr>
      <w:r>
        <w:t>Сургутского района</w:t>
      </w:r>
    </w:p>
    <w:p w:rsidR="00000000" w:rsidRDefault="00611FA8">
      <w:pPr>
        <w:pStyle w:val="FORMATTEXT"/>
        <w:jc w:val="right"/>
      </w:pPr>
      <w:r>
        <w:t> А.П. Симе</w:t>
      </w:r>
      <w:r>
        <w:t>няк</w:t>
      </w:r>
    </w:p>
    <w:p w:rsidR="00000000" w:rsidRDefault="00611FA8">
      <w:pPr>
        <w:pStyle w:val="FORMATTEXT"/>
        <w:jc w:val="right"/>
      </w:pPr>
      <w:r>
        <w:t> "10" июня 2021 года</w:t>
      </w:r>
    </w:p>
    <w:p w:rsidR="00000000" w:rsidRDefault="00611FA8">
      <w:pPr>
        <w:pStyle w:val="FORMATTEXT"/>
        <w:jc w:val="right"/>
      </w:pPr>
    </w:p>
    <w:p w:rsidR="00000000" w:rsidRDefault="00611FA8">
      <w:pPr>
        <w:pStyle w:val="FORMATTEXT"/>
        <w:jc w:val="right"/>
      </w:pPr>
    </w:p>
    <w:p w:rsidR="00000000" w:rsidRDefault="00611FA8">
      <w:pPr>
        <w:pStyle w:val="FORMATTEXT"/>
        <w:jc w:val="right"/>
      </w:pPr>
      <w:r>
        <w:t>Исполняющий полномочия</w:t>
      </w:r>
    </w:p>
    <w:p w:rsidR="00000000" w:rsidRDefault="00611FA8">
      <w:pPr>
        <w:pStyle w:val="FORMATTEXT"/>
        <w:jc w:val="right"/>
      </w:pPr>
      <w:r>
        <w:t>главы Сургутского района</w:t>
      </w:r>
    </w:p>
    <w:p w:rsidR="00000000" w:rsidRDefault="00611FA8">
      <w:pPr>
        <w:pStyle w:val="FORMATTEXT"/>
        <w:jc w:val="right"/>
      </w:pPr>
      <w:r>
        <w:t> А.И. Савенков</w:t>
      </w:r>
    </w:p>
    <w:p w:rsidR="00000000" w:rsidRDefault="00611FA8">
      <w:pPr>
        <w:pStyle w:val="FORMATTEXT"/>
        <w:jc w:val="right"/>
      </w:pPr>
      <w:r>
        <w:t> "10" июня 2021 года</w:t>
      </w:r>
    </w:p>
    <w:p w:rsidR="00000000" w:rsidRDefault="00611FA8">
      <w:pPr>
        <w:pStyle w:val="FORMATTEXT"/>
        <w:jc w:val="right"/>
      </w:pPr>
    </w:p>
    <w:p w:rsidR="00000000" w:rsidRDefault="00611FA8">
      <w:pPr>
        <w:pStyle w:val="FORMATTEXT"/>
        <w:jc w:val="right"/>
      </w:pPr>
    </w:p>
    <w:p w:rsidR="00000000" w:rsidRDefault="00611FA8">
      <w:pPr>
        <w:pStyle w:val="FORMATTEXT"/>
        <w:jc w:val="right"/>
      </w:pPr>
    </w:p>
    <w:p w:rsidR="00000000" w:rsidRDefault="00611FA8">
      <w:pPr>
        <w:pStyle w:val="FORMATTEXT"/>
        <w:jc w:val="right"/>
      </w:pPr>
      <w:r>
        <w:t>Приложение</w:t>
      </w:r>
    </w:p>
    <w:p w:rsidR="00000000" w:rsidRDefault="00611FA8">
      <w:pPr>
        <w:pStyle w:val="FORMATTEXT"/>
        <w:jc w:val="right"/>
      </w:pPr>
      <w:r>
        <w:t>к решению</w:t>
      </w:r>
    </w:p>
    <w:p w:rsidR="00000000" w:rsidRDefault="00611FA8">
      <w:pPr>
        <w:pStyle w:val="FORMATTEXT"/>
        <w:jc w:val="right"/>
      </w:pPr>
      <w:r>
        <w:t>Думы Сургутского района</w:t>
      </w:r>
    </w:p>
    <w:p w:rsidR="00000000" w:rsidRDefault="00611FA8">
      <w:pPr>
        <w:pStyle w:val="FORMATTEXT"/>
        <w:jc w:val="right"/>
      </w:pPr>
      <w:r>
        <w:t xml:space="preserve">от "10" июня 2021 года N 1143-нпа </w:t>
      </w: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>Генеральный план сельского поселения Русскинская Сургутског</w:t>
      </w:r>
      <w:r>
        <w:rPr>
          <w:b/>
          <w:bCs/>
        </w:rPr>
        <w:t xml:space="preserve">о муниципального района Ханты-Мансийского автономного округа-Югры </w:t>
      </w: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Положение о территориальном планировании </w:t>
      </w: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Раздел 1. Общие положения </w:t>
      </w:r>
    </w:p>
    <w:p w:rsidR="00000000" w:rsidRDefault="00611FA8">
      <w:pPr>
        <w:pStyle w:val="FORMATTEXT"/>
        <w:ind w:firstLine="568"/>
        <w:jc w:val="both"/>
      </w:pPr>
      <w:r>
        <w:t>Генеральный план сельского поселения Русскинская Сургутского муниципального района Ханты-Мансийского автономного о</w:t>
      </w:r>
      <w:r>
        <w:t xml:space="preserve">круга-Югры (далее также-Генеральный план) подготовлен в соответствии со </w:t>
      </w:r>
      <w:r>
        <w:fldChar w:fldCharType="begin"/>
      </w:r>
      <w:r>
        <w:instrText xml:space="preserve"> HYPERLINK "kodeks://link/d?nd=901919338&amp;point=mark=000000000000000000000000000000000000000000000000008Q40M5"\o"’’Градостроительный кодекс Российской Федерации (с изменениями на 1 мая </w:instrText>
      </w:r>
      <w:r>
        <w:instrText>2022 года)’’</w:instrText>
      </w:r>
    </w:p>
    <w:p w:rsidR="00000000" w:rsidRDefault="00611FA8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611FA8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статьей 23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содержит: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сведения о видах, назначении и наименованиях планируемых для размещения объектов м</w:t>
      </w:r>
      <w:r>
        <w:t>естного значения, их основные характеристики, их местоположение;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характеристики зон с особыми условиями использования территорий;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параметры функциональных зон, а также сведения о планируемых для размещения в них объектах федерального значения, объектах р</w:t>
      </w:r>
      <w:r>
        <w:t>егионального значения, объектах местного значения.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Территориальное планирование сельского поселения Русскинская осуществляется в соответствии с действующим федеральным законодательством и законодательством Ханты-Мансийского автономного округа-Югры, муници</w:t>
      </w:r>
      <w:r>
        <w:t xml:space="preserve">пальными правовыми актами и направлено на комплексное решение задач развития сельского поселения Русскинская и решение вопросов местного значения, установленных </w:t>
      </w:r>
      <w:r>
        <w:fldChar w:fldCharType="begin"/>
      </w:r>
      <w:r>
        <w:instrText xml:space="preserve"> HYPERLINK "kodeks://link/d?nd=901876063&amp;point=mark=0000000000000000000000000000000000000000000</w:instrText>
      </w:r>
      <w:r>
        <w:instrText>00000007D20K3"\o"’’Об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000000" w:rsidRDefault="00611FA8">
      <w:pPr>
        <w:pStyle w:val="FORMATTEXT"/>
        <w:ind w:firstLine="568"/>
        <w:jc w:val="both"/>
      </w:pPr>
      <w:r>
        <w:instrText>Федеральный закон от 06.10.2003 N 131-ФЗ</w:instrText>
      </w:r>
    </w:p>
    <w:p w:rsidR="00000000" w:rsidRDefault="00611FA8">
      <w:pPr>
        <w:pStyle w:val="FORMATTEXT"/>
        <w:ind w:firstLine="568"/>
        <w:jc w:val="both"/>
      </w:pPr>
      <w:r>
        <w:instrText>Статус: действующая редакция (действ. с 10.01.2022)"</w:instrText>
      </w:r>
      <w:r>
        <w:fldChar w:fldCharType="separate"/>
      </w:r>
      <w:r>
        <w:rPr>
          <w:color w:val="0000AA"/>
          <w:u w:val="single"/>
        </w:rPr>
        <w:t>Федеральным законом от 0</w:t>
      </w:r>
      <w:r>
        <w:rPr>
          <w:color w:val="0000AA"/>
          <w:u w:val="single"/>
        </w:rPr>
        <w:t>6 октября 2003 года N 131-ФЗ "Об общих принципах организации местного самоуправления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При подготовке Генерального плана учтены социально-экономические, демографические и иные показатели развития сельского поселения Русскинская.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Основные задачи Генерального плана: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выявление проблем градостроительного развития территории сельского поселения Русскинская, обеспечение их решения;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определение основных направлений и параметров пространственного развития сельского поселения Русскинск</w:t>
      </w:r>
      <w:r>
        <w:t>ая, обеспечивающих создание инструмента управления развитием территории на основе баланса интересов федеральных, региональных и местных органов публичной власти;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создание электронного Генерального плана на основе компьютерных технологий и программного обе</w:t>
      </w:r>
      <w:r>
        <w:t xml:space="preserve">спечения, а также требований к структуре, описанию, отображению информации, размещаемой в Информационной системе обеспечения градостроительной деятельности Сургутского района в соответствии с </w:t>
      </w:r>
      <w:r>
        <w:fldChar w:fldCharType="begin"/>
      </w:r>
      <w:r>
        <w:instrText xml:space="preserve"> HYPERLINK "kodeks://link/d?nd=542615978"\o"’’Об утверждении Тре</w:instrText>
      </w:r>
      <w:r>
        <w:instrText>бований к описанию и отображению в документах территориального планирования объектов ...’’</w:instrText>
      </w:r>
    </w:p>
    <w:p w:rsidR="00000000" w:rsidRDefault="00611FA8">
      <w:pPr>
        <w:pStyle w:val="FORMATTEXT"/>
        <w:ind w:firstLine="568"/>
        <w:jc w:val="both"/>
      </w:pPr>
      <w:r>
        <w:instrText>Приказ Минэкономразвития России от 09.01.2018 N 10</w:instrText>
      </w:r>
    </w:p>
    <w:p w:rsidR="00000000" w:rsidRDefault="00611FA8">
      <w:pPr>
        <w:pStyle w:val="FORMATTEXT"/>
        <w:ind w:firstLine="568"/>
        <w:jc w:val="both"/>
      </w:pPr>
      <w:r>
        <w:instrText>Статус: действует с 12.02.2018"</w:instrText>
      </w:r>
      <w:r>
        <w:fldChar w:fldCharType="separate"/>
      </w:r>
      <w:r>
        <w:rPr>
          <w:color w:val="0000AA"/>
          <w:u w:val="single"/>
        </w:rPr>
        <w:t>приказом Министерства экономического развития Российской Федерации от 09 января 201</w:t>
      </w:r>
      <w:r>
        <w:rPr>
          <w:color w:val="0000AA"/>
          <w:u w:val="single"/>
        </w:rPr>
        <w:t>8 года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</w:t>
      </w:r>
      <w:r>
        <w:rPr>
          <w:color w:val="0000AA"/>
          <w:u w:val="single"/>
        </w:rPr>
        <w:t>оссии от 7 декабря 2016 г. N 793"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Генеральный план устанавливает: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планируемые для размещения объекты местного значения сельского поселения Русскинская, определяющие характер развития сети транспортной, инженерной, социальной и иных инфраструктур, со</w:t>
      </w:r>
      <w:r>
        <w:t>гласно карте планируемого размещения объектов местного значения сельского поселения Русскинская (приложение 1 к Генеральному плану);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 xml:space="preserve">границы населенного пункта деревня Русскинская, входящего в состав сельского поселения Русскинская, согласно карте границ </w:t>
      </w:r>
      <w:r>
        <w:t>населенных пунктов, входящих в состав сельского поселения Русскинская (приложение 2 к Генеральному плану);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 xml:space="preserve">функциональное зонирование территории сельского поселения Русскинская согласно карте функциональных зон сельского поселения Русскинская (приложение </w:t>
      </w:r>
      <w:r>
        <w:lastRenderedPageBreak/>
        <w:t>3 к Генеральному плану).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К планируемым для размещения в Генеральном плане объектам местного значения сельского поселения Русскинская относятся объекты капитального строительства, иные объекты, территории, которые необходимы для осуществления органами мест</w:t>
      </w:r>
      <w:r>
        <w:t>ного самоуправления сельского поселения Русскинская полномочий по вопросам местного значения сельского поселения, в том числе в соответствии с Законом Ханты-Мансийского автономного округа-Югры от 18 апреля 2007 года N 39-оз "О градостроительной деятельност</w:t>
      </w:r>
      <w:r>
        <w:t>и на территории Ханты-Мансийского автономного округа-Югры", Уставом сельского поселения Русскинская, и оказывают существенное влияние на социально-экономическое развитие сельского поселения Русскинская.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В Генеральном плане приняты следующие проектные пери</w:t>
      </w:r>
      <w:r>
        <w:t>оды: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исходный год разработки Генерального плана-конец 2018 года;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расчетный срок реализации Генерального плана-конец 2040 года.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  <w:r>
        <w:t>Численность населения сельского поселения Русскинская на конец 2018 года-1,6 тыс. человек, прогнозируемая численность на расче</w:t>
      </w:r>
      <w:r>
        <w:t>тный срок реализации Генерального плана (конец 2040 года) составит 1,8 тыс. человек.</w:t>
      </w: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FORMATTEXT"/>
        <w:ind w:firstLine="568"/>
        <w:jc w:val="both"/>
      </w:pP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2.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</w:t>
      </w:r>
    </w:p>
    <w:p w:rsidR="00000000" w:rsidRDefault="00611FA8">
      <w:pPr>
        <w:pStyle w:val="HEADERTEXT"/>
        <w:jc w:val="center"/>
        <w:rPr>
          <w:b/>
          <w:bCs/>
        </w:rPr>
      </w:pP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1. Объекты культуры, объекты отдыха и туризма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515"/>
        <w:gridCol w:w="1785"/>
        <w:gridCol w:w="1260"/>
        <w:gridCol w:w="1425"/>
        <w:gridCol w:w="1545"/>
        <w:gridCol w:w="1620"/>
        <w:gridCol w:w="2175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объекта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объекта 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объекта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Местоположение объекта (населенный пункт, адрес, функциональная зона)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зоны с особыми услов</w:t>
            </w:r>
            <w:r>
              <w:rPr>
                <w:sz w:val="18"/>
                <w:szCs w:val="18"/>
              </w:rPr>
              <w:t xml:space="preserve">иями/ количественный показатель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характеристики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количественный показатель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Гостиница на 30 мест с кафе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 и аналогичные коллективные средства размещения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Русскинская</w:t>
            </w:r>
            <w:r>
              <w:rPr>
                <w:sz w:val="18"/>
                <w:szCs w:val="18"/>
              </w:rPr>
              <w:t xml:space="preserve">, Общественно-деловые зоны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000000" w:rsidRDefault="00611F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2. Прочие объекты обслуживания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515"/>
        <w:gridCol w:w="1755"/>
        <w:gridCol w:w="1260"/>
        <w:gridCol w:w="1425"/>
        <w:gridCol w:w="1545"/>
        <w:gridCol w:w="1620"/>
        <w:gridCol w:w="2175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объекта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объекта 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объекта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Местоположение объекта (населенный пункт, адрес, функциональная зона)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зон</w:t>
            </w:r>
            <w:r>
              <w:rPr>
                <w:sz w:val="18"/>
                <w:szCs w:val="18"/>
              </w:rPr>
              <w:t xml:space="preserve">ы с особыми условиями/ количественный показатель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характеристики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количественный показатель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Кафе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торговли, общественного питания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 д. Русскинская, Общественно-деловые з</w:t>
            </w:r>
            <w:r>
              <w:rPr>
                <w:sz w:val="18"/>
                <w:szCs w:val="18"/>
              </w:rPr>
              <w:t xml:space="preserve">оны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000000" w:rsidRDefault="00611F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 Объекты электро-, тепло-, газо- и водоснабжения населения, водоотведения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1"/>
        <w:gridCol w:w="1969"/>
        <w:gridCol w:w="1969"/>
        <w:gridCol w:w="1834"/>
        <w:gridCol w:w="1462"/>
        <w:gridCol w:w="2058"/>
        <w:gridCol w:w="1611"/>
        <w:gridCol w:w="2163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объекта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объекта </w:t>
            </w: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объекта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Местоположение объекта (населенный пункт, адрес, функцио</w:t>
            </w:r>
            <w:r>
              <w:rPr>
                <w:sz w:val="18"/>
                <w:szCs w:val="18"/>
              </w:rPr>
              <w:t xml:space="preserve">нальная зона)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зоны с особыми условиями/ количественный показатель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характеристики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количественный показатель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КТПН-1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подстанция (ТП)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электроснабжения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к реко</w:t>
            </w:r>
            <w:r>
              <w:rPr>
                <w:sz w:val="18"/>
                <w:szCs w:val="18"/>
              </w:rPr>
              <w:t xml:space="preserve">нструкции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трансформаторов, МВ - A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Русскинская, Зона застройки малоэтажными жилыми домами (до 4 этажей, включая мансардный)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Охранная зона (далее-ОЗ)-10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трансформаторов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Напряжение, кВ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3.2.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КТПН-5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подстанция (ТП)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электроснабжения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реконструкции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трансформаторов, МВ - A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Русскинская, Зона транспортной инфраструктуры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ОЗ-10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трансформаторов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Напряжение, кВ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ТП-4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подстанция (ТП)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электроснабжения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реконструкции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трансформаторов, МВ - A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Русскинская, Общественно-деловые зоны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ОЗ-10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трансформаторов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Напряжение, к</w:t>
            </w: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КТПН-6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подстанция (ТП)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электроснабжения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реконструкции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трансформаторов, МВ - A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Русскинская, Производственные зоны, зоны инженерной и транспортной инфраструктур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ОЗ-10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оличество трансформаторов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Напряжение, кВ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ТП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подстанция (ТП)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электроснабжения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трансформаторов, МВ - A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Русскинская, Иные зоны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ОЗ-10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т</w:t>
            </w:r>
            <w:r>
              <w:rPr>
                <w:sz w:val="18"/>
                <w:szCs w:val="18"/>
              </w:rPr>
              <w:t xml:space="preserve">рансформаторов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Напряжение, кВ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6 кВ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Линии электропередачи 6 кВ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электроснабжения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Напряжение, кВ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ОЗ-5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2,45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3.7.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ПРГ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редуцирования газа (ПРГ)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газоснабжения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Русскинская, Зона транспортной инфраструктуры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ОЗ-10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ПРГ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редуцирования газа (ПРГ)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газоснабжения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к разме</w:t>
            </w:r>
            <w:r>
              <w:rPr>
                <w:sz w:val="18"/>
                <w:szCs w:val="18"/>
              </w:rPr>
              <w:t xml:space="preserve">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Русскинская, Зона транспортной инфраструктуры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ОЗ-10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 распределительный высокого давления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 распределительный высокого давления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газоснабжения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сооружени</w:t>
            </w:r>
            <w:r>
              <w:rPr>
                <w:sz w:val="18"/>
                <w:szCs w:val="18"/>
              </w:rPr>
              <w:t xml:space="preserve">я, км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ОЗ-3;2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Рабочее давление в трубопроводе, Мпа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тепловой энергии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теплоснабжения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реконструкции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</w:t>
            </w:r>
            <w:r>
              <w:rPr>
                <w:sz w:val="18"/>
                <w:szCs w:val="18"/>
              </w:rPr>
              <w:t xml:space="preserve">я мощность, Гкал/ч.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9,6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Русскинская, Зона инженерной инфраструктуры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3.11.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Теплопровод магистральный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Теплопровод магистральный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теплоснабжения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Русски</w:t>
            </w:r>
            <w:r>
              <w:rPr>
                <w:sz w:val="18"/>
                <w:szCs w:val="18"/>
              </w:rPr>
              <w:t xml:space="preserve">нская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ОЗ-3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подающего 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обратного 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3.12.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Теплопровод магистральный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Теплопровод магистральный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теплоснабжения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ОЗ-3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подающего 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обратного 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3.13.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Теплопровод магистральный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Теплопровод магистральный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теплоснабжения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к разме</w:t>
            </w:r>
            <w:r>
              <w:rPr>
                <w:sz w:val="18"/>
                <w:szCs w:val="18"/>
              </w:rPr>
              <w:t xml:space="preserve">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ОЗ-3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подающего </w:t>
            </w:r>
            <w:r>
              <w:rPr>
                <w:sz w:val="18"/>
                <w:szCs w:val="18"/>
              </w:rPr>
              <w:lastRenderedPageBreak/>
              <w:t xml:space="preserve">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76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обратного 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3.14.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Водопроводные очистные сооружения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Производительность, тыс. куб. м/сут.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Русскинская, Зона инженерной инфраструктуры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пояс зон санитарной охраны (далее ЗСО)-30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3.15.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Артезианская скважина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Артезианская скважина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  <w:r>
              <w:rPr>
                <w:sz w:val="18"/>
                <w:szCs w:val="18"/>
              </w:rPr>
              <w:t xml:space="preserve">ируемый к реконструкции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Производительность, тыс. куб. м/сут.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Русскинская, Зона инженерной инфраструктуры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Приказом от 06 февраля 2012 года N 58-п "Об установлении границ и режимов ЗСО водозабора в с.п. Русскинская" (далее-Прика</w:t>
            </w:r>
            <w:r>
              <w:rPr>
                <w:sz w:val="18"/>
                <w:szCs w:val="18"/>
              </w:rPr>
              <w:t xml:space="preserve">з N 58)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3.16.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Артезианская скважина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Артезианская скважина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реконструкции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Производительность, тыс. куб. м/сут.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Русскинская, Зона инженерной инфраструктуры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N 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3.17.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Артезианская скважина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Артезианская скважина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реконструкции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Производительность, тыс. куб. м/сут.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Русскинская, Зона инженерной инфраструктуры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N 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3.18.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</w:t>
            </w:r>
            <w:r>
              <w:rPr>
                <w:sz w:val="18"/>
                <w:szCs w:val="18"/>
              </w:rPr>
              <w:t xml:space="preserve">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Русскинская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3.19.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1,18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Русскинская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3.20.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1,52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3.21.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</w:t>
            </w:r>
            <w:r>
              <w:rPr>
                <w:sz w:val="18"/>
                <w:szCs w:val="18"/>
              </w:rPr>
              <w:t xml:space="preserve">провод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3.22.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Очистные сооружения (КОС)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водоотведения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к рек</w:t>
            </w:r>
            <w:r>
              <w:rPr>
                <w:sz w:val="18"/>
                <w:szCs w:val="18"/>
              </w:rPr>
              <w:t xml:space="preserve">онструкции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Производительность, тыс. куб. м/сут.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Русскинская, Зона инженерной инфраструктуры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Санитарно-защитная зона-150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3.23.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напорная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напорная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водоотведения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с</w:t>
            </w:r>
            <w:r>
              <w:rPr>
                <w:sz w:val="18"/>
                <w:szCs w:val="18"/>
              </w:rPr>
              <w:t xml:space="preserve">ооружения, км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Русскинская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трубопровода, мм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611F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1350"/>
        <w:gridCol w:w="1350"/>
        <w:gridCol w:w="1515"/>
        <w:gridCol w:w="1425"/>
        <w:gridCol w:w="1560"/>
        <w:gridCol w:w="795"/>
        <w:gridCol w:w="1590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самотечная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самотечная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водоотведения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. Русскинская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трубопровода, мм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 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самотечная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самотечная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водоотведения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тру</w:t>
            </w:r>
            <w:r>
              <w:rPr>
                <w:sz w:val="18"/>
                <w:szCs w:val="18"/>
              </w:rPr>
              <w:t xml:space="preserve">бопровода, мм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напорная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напорная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водоотведения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0,71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трубопровода, мм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611F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4. Автомобиль</w:t>
      </w:r>
      <w:r>
        <w:rPr>
          <w:b/>
          <w:bCs/>
        </w:rPr>
        <w:t>ные дороги местного значения, объекты транспортной инфраструктуры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515"/>
        <w:gridCol w:w="1440"/>
        <w:gridCol w:w="1455"/>
        <w:gridCol w:w="1470"/>
        <w:gridCol w:w="1560"/>
        <w:gridCol w:w="1620"/>
        <w:gridCol w:w="1695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объекта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объекта 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объекта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Местоположение объекта (населенный пункт, адрес, функциональная зона)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зон</w:t>
            </w:r>
            <w:r>
              <w:rPr>
                <w:sz w:val="18"/>
                <w:szCs w:val="18"/>
              </w:rPr>
              <w:t xml:space="preserve">ы с особыми условиями/ количественный показатель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характеристики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количественный показатель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в жилой застройке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в жилой застройке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транспортного обслуживания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соору</w:t>
            </w:r>
            <w:r>
              <w:rPr>
                <w:sz w:val="18"/>
                <w:szCs w:val="18"/>
              </w:rPr>
              <w:t xml:space="preserve">жения, км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2,22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в жилой застройке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в жилой застройке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транспортного обслуживания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реконструкции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1,76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Станция технического обслуживани</w:t>
            </w:r>
            <w:r>
              <w:rPr>
                <w:sz w:val="18"/>
                <w:szCs w:val="18"/>
              </w:rPr>
              <w:t xml:space="preserve">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Станция технического обслуживания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транспортного обслуживания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постов станций технического обслуживания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Русскинская, Зона транспортной инфраструктуры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Санитарно-защитная зона-50 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611F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5. Прочие объекты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515"/>
        <w:gridCol w:w="1500"/>
        <w:gridCol w:w="1365"/>
        <w:gridCol w:w="1425"/>
        <w:gridCol w:w="1560"/>
        <w:gridCol w:w="1620"/>
        <w:gridCol w:w="2175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объекта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объекта 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объекта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Местоположение объекта (населенный пункт, адрес, функциональная зона)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зоны с особыми условиями/ количественный пока</w:t>
            </w:r>
            <w:r>
              <w:rPr>
                <w:sz w:val="18"/>
                <w:szCs w:val="18"/>
              </w:rPr>
              <w:t xml:space="preserve">затель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характеристики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количественный показатель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Кафе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торговли, общественного питания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Русскинская, Общественно-деловые зоны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5.2.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Набережная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Пешеходная зо</w:t>
            </w: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Русскинская, Зона озелененных территорий общего пользования (лесопарки, парки, сады, скверы, бульвары, городские леса)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Линия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Линия связи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электросвязи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</w:t>
            </w:r>
            <w:r>
              <w:rPr>
                <w:sz w:val="18"/>
                <w:szCs w:val="18"/>
              </w:rPr>
              <w:t xml:space="preserve">размещению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0,96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для защиты от затопления и подтопления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для защиты от затопления и подтопления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инженерной защиты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</w:t>
            </w:r>
            <w:r>
              <w:rPr>
                <w:sz w:val="18"/>
                <w:szCs w:val="18"/>
              </w:rPr>
              <w:t xml:space="preserve">женность сооружения, км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Русскинская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5.5.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для защиты от затопления и подтопления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для защиты от затопления и подтопления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инженерной защиты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к размещению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сооружения, км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1,03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п. Русскинская,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Русскинская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000000" w:rsidRDefault="00611F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3. Характеристики зон с особыми условиями использования территорий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2310"/>
        <w:gridCol w:w="5385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зоны с особыми условиями использования территорий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использования или ограничения на использование территории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</w:t>
            </w:r>
            <w:r>
              <w:rPr>
                <w:sz w:val="18"/>
                <w:szCs w:val="18"/>
              </w:rPr>
              <w:t xml:space="preserve">-правовой документ, устанавливающий режим использования или ограничения на использование территории для каждого вида 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Охранные зоны объектов электросетевого хозяйства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охранных зонах запрещается осуществлять любые действия, которые мог</w:t>
            </w:r>
            <w:r>
              <w:rPr>
                <w:sz w:val="18"/>
                <w:szCs w:val="18"/>
              </w:rPr>
              <w:t>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</w:t>
            </w:r>
            <w:r>
              <w:rPr>
                <w:sz w:val="18"/>
                <w:szCs w:val="18"/>
              </w:rPr>
              <w:t>еского ущерба и возникновение пожаров, в том числе: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размещать любые объекты и предметы (материалы) </w:t>
            </w:r>
            <w:r>
              <w:rPr>
                <w:sz w:val="18"/>
                <w:szCs w:val="18"/>
              </w:rPr>
              <w:t>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</w:t>
            </w:r>
            <w:r>
              <w:rPr>
                <w:sz w:val="18"/>
                <w:szCs w:val="18"/>
              </w:rPr>
              <w:t>ам электросетевого хозяйства, без создания необходимых для такого доступа проходов и подъездов;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</w:t>
            </w:r>
            <w:r>
              <w:rPr>
                <w:sz w:val="18"/>
                <w:szCs w:val="18"/>
              </w:rPr>
              <w:t>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</w:t>
            </w:r>
            <w:r>
              <w:rPr>
                <w:sz w:val="18"/>
                <w:szCs w:val="18"/>
              </w:rPr>
              <w:t>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размещать свалки;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производить работы ударными механизмами, сбрасывать тяжести массой свыше 5 тонн, производить сброс и слив едки</w:t>
            </w:r>
            <w:r>
              <w:rPr>
                <w:sz w:val="18"/>
                <w:szCs w:val="18"/>
              </w:rPr>
              <w:t>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 охранных зонах, установленных для объектов электросетевого хозяйства напряжением свыше 1000 вольт, помимо действий, предусмотренных пунк</w:t>
            </w:r>
            <w:r>
              <w:rPr>
                <w:sz w:val="18"/>
                <w:szCs w:val="18"/>
              </w:rPr>
              <w:t xml:space="preserve">том 8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"kodeks://link/d?nd=902145038&amp;point=mark=000000000000000000000000000000000000000000000000006580IP"\o"’’О порядке установления охранных зон объектов электросетевого хозяйства и особых условий ...’’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24.02.20</w:instrText>
            </w:r>
            <w:r>
              <w:rPr>
                <w:sz w:val="18"/>
                <w:szCs w:val="18"/>
              </w:rPr>
              <w:instrText>09 N 160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61169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</w:instrText>
            </w:r>
            <w:r>
              <w:rPr>
                <w:sz w:val="18"/>
                <w:szCs w:val="18"/>
              </w:rPr>
              <w:instrText>nk/d?nd=902145038"\o"’’О порядке установления охранных зон объектов электросетевого хозяйства и особых условий ...’’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24.02.2009 N 160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61169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</w:t>
            </w:r>
            <w:r>
              <w:rPr>
                <w:color w:val="0000AA"/>
                <w:sz w:val="18"/>
                <w:szCs w:val="18"/>
                <w:u w:val="single"/>
              </w:rPr>
              <w:t>кой Федерации от 24 февраля 2009 года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запрещается: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складировать или размещать хра</w:t>
            </w:r>
            <w:r>
              <w:rPr>
                <w:sz w:val="18"/>
                <w:szCs w:val="18"/>
              </w:rPr>
              <w:t>нилища любых, в том числе горюче-смазочных, материалов;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</w:t>
            </w:r>
            <w:r>
              <w:rPr>
                <w:sz w:val="18"/>
                <w:szCs w:val="18"/>
              </w:rPr>
              <w:t xml:space="preserve"> большим скоплением людей, не занятых выполнением разрешенных в установленном порядке работ (в охранных зонах воздушных </w:t>
            </w:r>
            <w:r>
              <w:rPr>
                <w:sz w:val="18"/>
                <w:szCs w:val="18"/>
              </w:rPr>
              <w:lastRenderedPageBreak/>
              <w:t>линий электропередачи);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использовать (запускать) любые летательные аппараты, в том числе воздушных змеев, спортивные модели летател</w:t>
            </w:r>
            <w:r>
              <w:rPr>
                <w:sz w:val="18"/>
                <w:szCs w:val="18"/>
              </w:rPr>
              <w:t>ьных аппаратов (в охранных зонах воздушных линий электропередачи);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 осуществлять</w:t>
            </w:r>
            <w:r>
              <w:rPr>
                <w:sz w:val="18"/>
                <w:szCs w:val="18"/>
              </w:rPr>
              <w:t xml:space="preserve"> проход судов с поднятыми стрелами кранов и других механизмов (в охранных зонах воздушных линий электропередачи).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строитель</w:t>
            </w:r>
            <w:r>
              <w:rPr>
                <w:sz w:val="18"/>
                <w:szCs w:val="18"/>
              </w:rPr>
              <w:t>ство, капитальный ремонт, реконструкция или снос зданий и сооружений;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горные, взрывные, мелиоративные работы, в том числе связанные с временным затоплением земель;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посадка и вырубка деревьев и кустарников;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 дноуглубительные, землечерпальные и</w:t>
            </w:r>
            <w:r>
              <w:rPr>
                <w:sz w:val="18"/>
                <w:szCs w:val="18"/>
              </w:rPr>
              <w:t xml:space="preserve">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 проход судов, у которых расстояние по в</w:t>
            </w:r>
            <w:r>
              <w:rPr>
                <w:sz w:val="18"/>
                <w:szCs w:val="18"/>
              </w:rPr>
              <w:t>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</w:t>
            </w:r>
            <w:r>
              <w:rPr>
                <w:sz w:val="18"/>
                <w:szCs w:val="18"/>
              </w:rPr>
              <w:t>ке;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 земляные работы на глубине более 0,3 метра (на вспахиваемых землях на глубине бол</w:t>
            </w:r>
            <w:r>
              <w:rPr>
                <w:sz w:val="18"/>
                <w:szCs w:val="18"/>
              </w:rPr>
              <w:t>ее 0,45 метра), а также планировка грунта (в охранных зонах подземных кабельных линий электропередачи);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 полив сельскохозяйственных культур в случае, если высота струи воды может составить свыше 3 метров (в охранных зонах воздушных линий электропередач</w:t>
            </w:r>
            <w:r>
              <w:rPr>
                <w:sz w:val="18"/>
                <w:szCs w:val="18"/>
              </w:rPr>
              <w:t>и);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</w:t>
            </w:r>
            <w:r>
              <w:rPr>
                <w:sz w:val="18"/>
                <w:szCs w:val="18"/>
              </w:rPr>
              <w:t xml:space="preserve">онах </w:t>
            </w:r>
            <w:r>
              <w:rPr>
                <w:sz w:val="18"/>
                <w:szCs w:val="18"/>
              </w:rPr>
              <w:lastRenderedPageBreak/>
              <w:t>кабельных линий электропередачи).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В охранных зонах, установленных для объектов электросетевого хозяйства напряжением до 1000 вольт, помимо действий, предусмотренных пунктом 10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"kodeks://link/d?nd=902145038&amp;point=mark=0000000000000000000000</w:instrText>
            </w:r>
            <w:r>
              <w:rPr>
                <w:sz w:val="18"/>
                <w:szCs w:val="18"/>
              </w:rPr>
              <w:instrText>00000000000000000000000000006580IP"\o"’’О порядке установления охранных зон объектов электросетевого хозяйства и особых условий ...’’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24.02.2009 N 160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61169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 установления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"kodeks://link/d?nd=902145038"\o"’’О порядке установления охранных зон объектов электросетев</w:instrText>
            </w:r>
            <w:r>
              <w:rPr>
                <w:sz w:val="18"/>
                <w:szCs w:val="18"/>
              </w:rPr>
              <w:instrText>ого хозяйства и особых условий ...’’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24.02.2009 N 160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61169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24 февраля 2009 года N 160 "О порядке установления охранных зон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объектов электросетевого хозяйства и особых условий использования земельных участков, расположенных в границах таких зон"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без письменного решения о согласовании сетевых организаций запрещается: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размещать детские и спортивные площадки, стадионы, </w:t>
            </w:r>
            <w:r>
              <w:rPr>
                <w:sz w:val="18"/>
                <w:szCs w:val="18"/>
              </w:rPr>
              <w:t>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</w:t>
            </w:r>
            <w:r>
              <w:rPr>
                <w:sz w:val="18"/>
                <w:szCs w:val="18"/>
              </w:rPr>
              <w:t>тва, в том числе индивидуального (в охранных зонах воздушных линий электропередачи);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складировать или размещать хранилища любых, в том числе горюче-смазочных, материалов;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устраивать причалы для стоянки судов, барж и плавучих кранов, бросать якоря</w:t>
            </w:r>
            <w:r>
              <w:rPr>
                <w:sz w:val="18"/>
                <w:szCs w:val="18"/>
              </w:rPr>
              <w:t xml:space="preserve"> с судов и осуществлять их проход с отданными якорями, цепями, лотами, волокушами и тралами (в охранных зонах подводных кабельных линий электропередачи).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"kodeks://link/d?nd=902145038"\o"’’О порядке установления охранных зон объектов электросет</w:instrText>
            </w:r>
            <w:r>
              <w:rPr>
                <w:sz w:val="18"/>
                <w:szCs w:val="18"/>
              </w:rPr>
              <w:instrText>евого хозяйства и особых условий ...’’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24.02.2009 N 160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61169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24 февраля 2009 года N 160 "О порядке установления охранных зо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н объектов электросетевого хозяйства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и особых условий использования земельных участков, расположенных в границах таких зон"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Охранные зоны газораспределительных сетей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земельные участки, входящие в охранные зоны газораспределительных сетей, в целя</w:t>
            </w:r>
            <w:r>
              <w:rPr>
                <w:sz w:val="18"/>
                <w:szCs w:val="18"/>
              </w:rPr>
              <w:t xml:space="preserve">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"kodeks://link/d?nd=901775571&amp;point=mark=000000000000000000000000000000000000</w:instrText>
            </w:r>
            <w:r>
              <w:rPr>
                <w:sz w:val="18"/>
                <w:szCs w:val="18"/>
              </w:rPr>
              <w:instrText>000000000000006500IL"\o"’’Об утверждении Правил охраны газораспределительных сетей (с изменениями на 17 мая 2016 года)’’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20.11.2000 N 878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01.06.2016)"</w:instrText>
            </w:r>
            <w:r w:rsidR="0061169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 охраны газораспределитель</w:t>
            </w:r>
            <w:r>
              <w:rPr>
                <w:color w:val="0000AA"/>
                <w:sz w:val="18"/>
                <w:szCs w:val="18"/>
                <w:u w:val="single"/>
              </w:rPr>
              <w:t>ных сетей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"kodeks://link/d?nd=901775571"\o"’’Об утверждении Правил охраны газораспределительных сетей (с изменениями на 17 мая 2016 года)’’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20.11.2000 N 878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</w:instrText>
            </w:r>
            <w:r>
              <w:rPr>
                <w:sz w:val="18"/>
                <w:szCs w:val="18"/>
              </w:rPr>
              <w:instrText>. с 01.06.2016)"</w:instrText>
            </w:r>
            <w:r w:rsidR="0061169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20 ноября 2000 года N 878 "Об утверждении Правил охраны газораспределительных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: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строить объекты жилищно-гражданского и производственного назначения;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сносить и реконструировать</w:t>
            </w:r>
            <w:r>
              <w:rPr>
                <w:sz w:val="18"/>
                <w:szCs w:val="18"/>
              </w:rPr>
              <w:t xml:space="preserve">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разрушать берегоукрепительные сооружения, </w:t>
            </w:r>
            <w:r>
              <w:rPr>
                <w:sz w:val="18"/>
                <w:szCs w:val="18"/>
              </w:rPr>
              <w:lastRenderedPageBreak/>
              <w:t>водопропус</w:t>
            </w:r>
            <w:r>
              <w:rPr>
                <w:sz w:val="18"/>
                <w:szCs w:val="18"/>
              </w:rPr>
              <w:t>кные устройства, земляные и иные сооружения, предохраняющие газораспределительные сети от разрушений;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ус</w:t>
            </w:r>
            <w:r>
              <w:rPr>
                <w:sz w:val="18"/>
                <w:szCs w:val="18"/>
              </w:rPr>
              <w:t>траивать свалки и склады, разливать растворы кислот, солей, щелочей и других химически активных веществ;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</w:t>
            </w:r>
            <w:r>
              <w:rPr>
                <w:sz w:val="18"/>
                <w:szCs w:val="18"/>
              </w:rPr>
              <w:t>служивания и устранению повреждений газораспределительных сетей;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разводить огонь и размещать источники огня;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открывать ка</w:t>
            </w:r>
            <w:r>
              <w:rPr>
                <w:sz w:val="18"/>
                <w:szCs w:val="18"/>
              </w:rPr>
              <w:t>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набрасывать, приставлять и привязывать к опорам и надземным газоп</w:t>
            </w:r>
            <w:r>
              <w:rPr>
                <w:sz w:val="18"/>
                <w:szCs w:val="18"/>
              </w:rPr>
              <w:t>роводам, ограждениям и зданиям газораспределительных сетей посторонние предметы, лестницы, влезать на них;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самовольно подключаться к газораспределительным сетям.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"kodeks://link/d?nd=901775571"\o"’’Об утверждении Правил охраны газораспределител</w:instrText>
            </w:r>
            <w:r>
              <w:rPr>
                <w:sz w:val="18"/>
                <w:szCs w:val="18"/>
              </w:rPr>
              <w:instrText>ьных сетей (с изменениями на 17 мая 2016 года)’’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20.11.2000 N 878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01.06.2016)"</w:instrText>
            </w:r>
            <w:r w:rsidR="0061169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ноября 2000 года N 878 "Об утверждении Правил охр</w:t>
            </w:r>
            <w:r>
              <w:rPr>
                <w:color w:val="0000AA"/>
                <w:sz w:val="18"/>
                <w:szCs w:val="18"/>
                <w:u w:val="single"/>
              </w:rPr>
              <w:t>аны газораспределительных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Охранные зоны тепловых сетей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</w:t>
            </w:r>
            <w:r>
              <w:rPr>
                <w:sz w:val="18"/>
                <w:szCs w:val="18"/>
              </w:rPr>
              <w:t>пятствующие ремонту: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загромождать подходы и подъезды к объектам и сооружениям тепловых сетей, складировать тяжелые и громоздк</w:t>
            </w:r>
            <w:r>
              <w:rPr>
                <w:sz w:val="18"/>
                <w:szCs w:val="18"/>
              </w:rPr>
              <w:t>ие материалы, возводить временные строения и заборы;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устраивать всякого</w:t>
            </w:r>
            <w:r>
              <w:rPr>
                <w:sz w:val="18"/>
                <w:szCs w:val="18"/>
              </w:rPr>
              <w:t xml:space="preserve"> рода свалки, разжигать костры, сжигать бытовой мусор или промышленные отходы;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производить работы ударными механизмами, производить сброс и слив едких и коррозионно-активных веществ и </w:t>
            </w:r>
            <w:r>
              <w:rPr>
                <w:sz w:val="18"/>
                <w:szCs w:val="18"/>
              </w:rPr>
              <w:lastRenderedPageBreak/>
              <w:t>горюче-смазочных материалов;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 проникать в помещения павильонов,</w:t>
            </w:r>
            <w:r>
              <w:rPr>
                <w:sz w:val="18"/>
                <w:szCs w:val="18"/>
              </w:rPr>
              <w:t xml:space="preserve"> центральных и индивидуальных тепловых пунктов посторонним лицам;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открывать, снимать, засыпать люки камер тепловых сетей;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сбрасывать в камеры мусор, отходы, снег и т.д.;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 снимать покровный металлический слой тепловой изоляции;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разрушать тепловую изоляц</w:t>
            </w:r>
            <w:r>
              <w:rPr>
                <w:sz w:val="18"/>
                <w:szCs w:val="18"/>
              </w:rPr>
              <w:t>ию;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ходить по трубопроводам надземной прокладки (переход через трубы разрешается только по специальным переходным мостикам);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 занимать подвалы зданий, особенно имеющих опасность затопления, в которых проложены тепловые сети или оборудованы тепловые вво</w:t>
            </w:r>
            <w:r>
              <w:rPr>
                <w:sz w:val="18"/>
                <w:szCs w:val="18"/>
              </w:rPr>
              <w:t>ды под мастерские, склады, для иных целей;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вводы в здания должны быть загерметизированы.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производить строительство, капитальный ремонт, реконструкцию или снос любых зданий и сооружений;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производить земляные работы, планировку грунта, посадку деревьев и кустарников, устраивать монументальные клумбы;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производить погрузочно-разгруз</w:t>
            </w:r>
            <w:r>
              <w:rPr>
                <w:sz w:val="18"/>
                <w:szCs w:val="18"/>
              </w:rPr>
              <w:t>очные работы, а также работы, связанные с разбиванием грунта и дорожных покрытий;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сооружать переезды и переходы через трубопроводы тепловых сетей.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"kodeks://link/d?nd=901828824"\o"’’О Типовых правилах охраны коммунальных тепловых сетей’’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</w:instrText>
            </w:r>
            <w:r>
              <w:rPr>
                <w:sz w:val="18"/>
                <w:szCs w:val="18"/>
              </w:rPr>
              <w:instrText>риказ Минстроя России от 17.08.1992 N 197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01.01.1993"</w:instrText>
            </w:r>
            <w:r w:rsidR="0061169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Министерства архитектуры, строительства и жилищно-коммунального хозяйства Российской Федерации от 17 августа 1992 года N 197 "О Типовых правилах охраны коммунальных тепловых се</w:t>
            </w:r>
            <w:r>
              <w:rPr>
                <w:color w:val="0000AA"/>
                <w:sz w:val="18"/>
                <w:szCs w:val="18"/>
                <w:u w:val="single"/>
              </w:rPr>
              <w:t>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пояс зон санитарной охраны (строгого режима) источников водоснабжения и водопроводов питьевого назначения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первого пояса зон санитарной охраны (строгого режима) источников водоснабжения и водопроводов питьевого назначения н</w:t>
            </w:r>
            <w:r>
              <w:rPr>
                <w:sz w:val="18"/>
                <w:szCs w:val="18"/>
              </w:rPr>
              <w:t>е допускается: посадка высокоствольных деревьев;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жилых</w:t>
            </w:r>
            <w:r>
              <w:rPr>
                <w:sz w:val="18"/>
                <w:szCs w:val="18"/>
              </w:rPr>
              <w:t xml:space="preserve"> и хозяйственно-бытовых зданий;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проживание людей;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применение ядохимикатов и удобрений.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2.1.4.1110-02 "Зоны санитарной охраны источников водоснабжения и водопроводов питьевого назначения"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и третий пояс зон санитарной охраны источников водо</w:t>
            </w:r>
            <w:r>
              <w:rPr>
                <w:sz w:val="18"/>
                <w:szCs w:val="18"/>
              </w:rPr>
              <w:t xml:space="preserve">снабжения и </w:t>
            </w:r>
            <w:r>
              <w:rPr>
                <w:sz w:val="18"/>
                <w:szCs w:val="18"/>
              </w:rPr>
              <w:lastRenderedPageBreak/>
              <w:t xml:space="preserve">водопроводов питьевого назначения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 территории второго и третьего пояса зон санитарной охраны источников водоснабжения и водопроводов питьевого назначения не допускается размещение складов горюче-смазочных материалов, ядохимикатов и минеральн</w:t>
            </w:r>
            <w:r>
              <w:rPr>
                <w:sz w:val="18"/>
                <w:szCs w:val="18"/>
              </w:rPr>
              <w:t xml:space="preserve">ых </w:t>
            </w:r>
            <w:r>
              <w:rPr>
                <w:sz w:val="18"/>
                <w:szCs w:val="18"/>
              </w:rPr>
              <w:lastRenderedPageBreak/>
              <w:t>удобрений, накопителей промстоков, шламохранилищ и других объектов, обусловливающих опасность химического загрязнения подземных вод.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таких объектов допускается в пределах третьего пояса зон санитарной охраны источников водоснабжения и водопро</w:t>
            </w:r>
            <w:r>
              <w:rPr>
                <w:sz w:val="18"/>
                <w:szCs w:val="18"/>
              </w:rPr>
              <w:t>водов питьевого назначения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</w:t>
            </w:r>
            <w:r>
              <w:rPr>
                <w:sz w:val="18"/>
                <w:szCs w:val="18"/>
              </w:rPr>
              <w:t>но-эпидемиологического надзора, выданного с учетом заключения органов геологического контроля.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 на территории второго пояса зон санитарной охраны источников водоснабжения и водопроводов питьевого назначения не допускается размещение кладбищ, с</w:t>
            </w:r>
            <w:r>
              <w:rPr>
                <w:sz w:val="18"/>
                <w:szCs w:val="18"/>
              </w:rPr>
              <w:t>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удобрений и ядохимикатов;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</w:t>
            </w:r>
            <w:r>
              <w:rPr>
                <w:sz w:val="18"/>
                <w:szCs w:val="18"/>
              </w:rPr>
              <w:t xml:space="preserve">бка леса главного пользования и реконструкции. 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Санитарно-защитная зона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</w:t>
            </w:r>
            <w:r>
              <w:rPr>
                <w:sz w:val="18"/>
                <w:szCs w:val="18"/>
              </w:rPr>
              <w:t>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сооружения, детские площад</w:t>
            </w:r>
            <w:r>
              <w:rPr>
                <w:sz w:val="18"/>
                <w:szCs w:val="18"/>
              </w:rPr>
              <w:t>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санитарно-защитной зоне объектов других отраслей промышленности не допускается размещать объекты по производству лекарственных веществ, ле</w:t>
            </w:r>
            <w:r>
              <w:rPr>
                <w:sz w:val="18"/>
                <w:szCs w:val="18"/>
              </w:rPr>
              <w:t>карственных средств и (или) лекарственных форм, склады сырья и полупродуктов для фармацевтических предприятий;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</w:t>
            </w:r>
            <w:r>
              <w:rPr>
                <w:sz w:val="18"/>
                <w:szCs w:val="18"/>
              </w:rPr>
              <w:t>отовки и хранения питьевой воды, которые могут повлиять на качество продукции.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границах санитарно-защитной зоны не допускается </w:t>
            </w:r>
            <w:r>
              <w:rPr>
                <w:sz w:val="18"/>
                <w:szCs w:val="18"/>
              </w:rPr>
              <w:lastRenderedPageBreak/>
              <w:t>использования земельных участков в целях: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размещения жилой застройки, объектов образовательного и медицинского назначения, с</w:t>
            </w:r>
            <w:r>
              <w:rPr>
                <w:sz w:val="18"/>
                <w:szCs w:val="18"/>
              </w:rPr>
              <w:t>портивных сооружений открытого типа, организаций отдыха детей и их оздоровления, зон рекреационного назначения и для ведения садоводства;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размещения объектов для производства и хранения лекарственных средств, объектов пищевых отраслей промышленности, оп</w:t>
            </w:r>
            <w:r>
              <w:rPr>
                <w:sz w:val="18"/>
                <w:szCs w:val="18"/>
              </w:rPr>
              <w:t>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</w:t>
            </w:r>
            <w:r>
              <w:rPr>
                <w:sz w:val="18"/>
                <w:szCs w:val="18"/>
              </w:rPr>
              <w:t xml:space="preserve">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</w:t>
            </w:r>
            <w:r>
              <w:rPr>
                <w:sz w:val="18"/>
                <w:szCs w:val="18"/>
              </w:rPr>
              <w:t xml:space="preserve">сырья, воды и продукции в соответствии с установленными к ним требованиями.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СанПиН 2.2.1/2.1.1.1200-03 "Санитарно-защитные зоны и санитарная классификация предприятий, сооружений и иных объектов".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"kodeks://link/d?nd=556716724"\o"’’Об утвержден</w:instrText>
            </w:r>
            <w:r>
              <w:rPr>
                <w:sz w:val="18"/>
                <w:szCs w:val="18"/>
              </w:rPr>
              <w:instrText>ии Правил установления санитарно-защитных зон и использования земельных участков ...’’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03.03.2018 N 222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13.03.2022)"</w:instrText>
            </w:r>
            <w:r w:rsidR="0061169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03 марта 2018 </w:t>
            </w:r>
            <w:r>
              <w:rPr>
                <w:color w:val="0000AA"/>
                <w:sz w:val="18"/>
                <w:szCs w:val="18"/>
                <w:u w:val="single"/>
              </w:rPr>
              <w:t>года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Придорожные полосы автомобильных дорог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реконструкция в границах придорожных по</w:t>
            </w:r>
            <w:r>
              <w:rPr>
                <w:sz w:val="18"/>
                <w:szCs w:val="18"/>
              </w:rPr>
              <w:t>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</w:t>
            </w:r>
            <w:r>
              <w:rPr>
                <w:sz w:val="18"/>
                <w:szCs w:val="18"/>
              </w:rPr>
              <w:t xml:space="preserve">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</w:t>
            </w:r>
            <w:r>
              <w:rPr>
                <w:sz w:val="18"/>
                <w:szCs w:val="18"/>
              </w:rPr>
              <w:t xml:space="preserve">аких объектов, установку рекламных конструкций, информационных щитов и указателей.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"kodeks://link/d?nd=902070582&amp;point=mark=000000000000000000000000000000000000000000000000007D20K3"\o"’’Об автомобильных дорогах и о дорожной деятельности в Росси</w:instrText>
            </w:r>
            <w:r>
              <w:rPr>
                <w:sz w:val="18"/>
                <w:szCs w:val="18"/>
              </w:rPr>
              <w:instrText>йской Федерации и о внесении ...’’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08.11.2007 N 257-ФЗ</w:instrTex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15.04.2022)"</w:instrText>
            </w:r>
            <w:r w:rsidR="0061169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08 ноября 2007 года N 257-ФЗ "Об автомобильных дорогах и о дорожной деятельности в Российской Федерации и о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внесении изменений в отдельные законодательные акты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611F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</w:t>
      </w:r>
      <w:r>
        <w:rPr>
          <w:b/>
          <w:bCs/>
        </w:rPr>
        <w:t xml:space="preserve">го значения, за исключением линейных объектов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2175"/>
        <w:gridCol w:w="1500"/>
        <w:gridCol w:w="1620"/>
        <w:gridCol w:w="5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функциональной зоны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функциональных зон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планируемых объектах федерального значения, объектах регионального значения, объектах местного значения (Наименование, Статус, Мес</w:t>
            </w:r>
            <w:r>
              <w:rPr>
                <w:sz w:val="18"/>
                <w:szCs w:val="18"/>
              </w:rPr>
              <w:t xml:space="preserve">тоположение, Мощность)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параметра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количественный показатель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16,41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застройки малоэтажными жилыми домами (до 4 этаж</w:t>
            </w:r>
            <w:r>
              <w:rPr>
                <w:sz w:val="18"/>
                <w:szCs w:val="18"/>
              </w:rPr>
              <w:t xml:space="preserve">ей, включая мансардный)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15,99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Трансформаторная подстанция (ТП) (КТПН-1, Местное значение поселения, Планируемый к реконструкции, д. Русскинская, Мощность трансформаторов, МВ - A: 0,63, Количество трансформаторов: 1, Напряжение, кВ: 6)-1</w:t>
            </w:r>
            <w:r>
              <w:rPr>
                <w:sz w:val="18"/>
                <w:szCs w:val="18"/>
              </w:rPr>
              <w:t xml:space="preserve"> объект.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структурное подразделение медицинской организации, оказывающей первичную медико-санитарную помощь (БУ "Федоровская городская больница", ФАП в д. Русскинская, Региональное значение, Планируемый к размещению, с.п. Русскинская, д. Русски</w:t>
            </w:r>
            <w:r>
              <w:rPr>
                <w:sz w:val="18"/>
                <w:szCs w:val="18"/>
              </w:rPr>
              <w:t xml:space="preserve">нская)-1 объект.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Общественно-деловые зоны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11,85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(Бассейн школьный, Местное</w:t>
            </w:r>
            <w:r>
              <w:rPr>
                <w:sz w:val="18"/>
                <w:szCs w:val="18"/>
              </w:rPr>
              <w:t xml:space="preserve"> значение муниципального района, Планируемый к размещению, с.п. Русскинская, д. Русскинская, Единовременная пропускная способность, чел.: 20)-1 объект.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</w:t>
            </w:r>
            <w:r>
              <w:rPr>
                <w:sz w:val="18"/>
                <w:szCs w:val="18"/>
              </w:rPr>
              <w:t>ельством (Молодежный центр, Местное значение муниципального района, Планируемый к размещению, с.п. Русскинская, д. Русскинская)-1 объект.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 и аналогичные коллективные средства размещения (Гостиница на 30 мест с кафе, Местное значение поселения, Пла</w:t>
            </w:r>
            <w:r>
              <w:rPr>
                <w:sz w:val="18"/>
                <w:szCs w:val="18"/>
              </w:rPr>
              <w:t>нируемый к размещению, с.п. Русскинская, д. Русскинская)-1 объект.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торговли, общественного питания (Кафе, Местное значение поселения, Планируемый к размещению, с.п. Русскинская, д. Русскинская)-1 объект.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Трансформаторная подстанция (ТП) (ТП-4, Мест</w:t>
            </w:r>
            <w:r>
              <w:rPr>
                <w:sz w:val="18"/>
                <w:szCs w:val="18"/>
              </w:rPr>
              <w:t xml:space="preserve">ное значение поселения, Планируемый к реконструкции, д. Русскинская, Мощность трансформаторов, МВ - A: 0,4, Количество трансформаторов: 1, Напряжение, кВ: 6)-1 объект.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Производственные зоны, зоны инженерной и транспортной </w:t>
            </w:r>
            <w:r>
              <w:rPr>
                <w:sz w:val="18"/>
                <w:szCs w:val="18"/>
              </w:rPr>
              <w:t xml:space="preserve">инфраструктур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15,94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обеспечения пожарной безопасности (Пожарный пост, Региональное значение, Планируемый к размещению, с.п. Русскинская, д. Русскинская, Количество автомобилей: 2)-1 объект.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Иная зона с действием особых финансовы</w:t>
            </w:r>
            <w:r>
              <w:rPr>
                <w:sz w:val="18"/>
                <w:szCs w:val="18"/>
              </w:rPr>
              <w:t>х или нефинансовых механизмов поддержки инвестиционной и инновационной деятельности (Инвестиционная площадка в сфере развития рыбоперерабатывающей промышленности, Региональное значение, Планируемый к размещению, с.п. Русскинская, Общая площадь территории з</w:t>
            </w:r>
            <w:r>
              <w:rPr>
                <w:sz w:val="18"/>
                <w:szCs w:val="18"/>
              </w:rPr>
              <w:t>оны (кластера), га: 0,89)-1 объект.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подстанция (ТП) (КТПН-6, Местное значение поселения, Планируемый к реконструкции, д. Русскинская, Мощность трансформаторов, МВ - A: 0,8, Количество трансформаторов: 2, Напряжение, кВ: 6)-1 объект.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 xml:space="preserve">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инженерной инфраструктуры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2,83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тепловой энергии (Котельная, Местное значение поселения, Планируемый к реконструкции, д. Русскинская, Тепловая мощность, Гкал/ч.: 9,6)-1 объект.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очис</w:t>
            </w:r>
            <w:r>
              <w:rPr>
                <w:sz w:val="18"/>
                <w:szCs w:val="18"/>
              </w:rPr>
              <w:t>тные сооружения (ВОС, Местное значение поселения, Планируемый к размещению, с.п. Русскинская, Производительность, тыс. куб. м/сут.: 0,4)-1 объект.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Артезианская скважина (Артезианская скважина, Местное значение поселения, Планируемый к реконструкции, с.п. Р</w:t>
            </w:r>
            <w:r>
              <w:rPr>
                <w:sz w:val="18"/>
                <w:szCs w:val="18"/>
              </w:rPr>
              <w:t>усскинская, Производительность, тыс. куб. м/сут.: 0,6)-3 объекта.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Очистные сооружения (КОС) (КОС, Местное значение поселения, Планируемый к реконструкции, Производительность, тыс. куб. м/сут.: 0,4)-1 объект.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</w:t>
            </w:r>
            <w:r>
              <w:rPr>
                <w:sz w:val="18"/>
                <w:szCs w:val="18"/>
              </w:rPr>
              <w:lastRenderedPageBreak/>
              <w:t xml:space="preserve">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транспорт</w:t>
            </w:r>
            <w:r>
              <w:rPr>
                <w:sz w:val="18"/>
                <w:szCs w:val="18"/>
              </w:rPr>
              <w:t xml:space="preserve">ной инфраструктуры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42,29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Станция технического обслуживания (Станция технического обслуживания, Местное значение поселения, Планируемый к размещению, с.п. Русскинская, д. Русскинская, Количество постов станций технического обслуживания: </w:t>
            </w:r>
            <w:r>
              <w:rPr>
                <w:sz w:val="18"/>
                <w:szCs w:val="18"/>
              </w:rPr>
              <w:t>4)-1 объект.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Трансформаторная подстанция (ТП) (КТПН-5, Местное значение поселения, Планируемый к реконструкции, д. Русскинская, Мощность трансформаторов, МВ - A: 0,25, Количество трансформаторов: 1, Напряжение, кВ: 6)-1 объект.</w:t>
            </w:r>
          </w:p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редуцирования газа (ПР</w:t>
            </w:r>
            <w:r>
              <w:rPr>
                <w:sz w:val="18"/>
                <w:szCs w:val="18"/>
              </w:rPr>
              <w:t xml:space="preserve">Г) (ПРГ, Местное значение поселения, Планируемый к размещению, д. Русскинская)-2 объекта.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4,01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Иная зона с действием особых финансовых или нефинанс</w:t>
            </w:r>
            <w:r>
              <w:rPr>
                <w:sz w:val="18"/>
                <w:szCs w:val="18"/>
              </w:rPr>
              <w:t>овых механизмов поддержки инвестиционной и инновационной деятельности (Инвестиционная площадка в сфере развития агропромышленного комплекса, Региональное значение, Планируемый к размещению, с.п. Русскинская, Общая площадь территории зоны (кластера), га: 0,</w:t>
            </w:r>
            <w:r>
              <w:rPr>
                <w:sz w:val="18"/>
                <w:szCs w:val="18"/>
              </w:rPr>
              <w:t xml:space="preserve">03)-1 объект.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Зоны рекреационного назначения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1,24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озелененных территорий общего пользования (лесопарки, парки, сады, скверы, бульвары, городские леса)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</w:t>
            </w:r>
            <w:r>
              <w:rPr>
                <w:sz w:val="18"/>
                <w:szCs w:val="18"/>
              </w:rPr>
              <w:t xml:space="preserve">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2,11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Пешеходная зона (Набережная, Местное значение поселения, Планируемый к размещению, с.п. Русскинская, д. Русскинская)-1 объект.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отдыха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лес</w:t>
            </w:r>
            <w:r>
              <w:rPr>
                <w:sz w:val="18"/>
                <w:szCs w:val="18"/>
              </w:rPr>
              <w:t xml:space="preserve">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18348,4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кладбищ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0,57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складирования и захоронения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2,82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озеленен</w:t>
            </w:r>
            <w:r>
              <w:rPr>
                <w:sz w:val="18"/>
                <w:szCs w:val="18"/>
              </w:rPr>
              <w:t xml:space="preserve">ных территорий специального назначения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2,13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акваторий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1789,16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зоны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зоны, га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7,88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Трансформаторная подстанция (ТП) (ТП, Мест</w:t>
            </w:r>
            <w:r>
              <w:rPr>
                <w:sz w:val="18"/>
                <w:szCs w:val="18"/>
              </w:rPr>
              <w:t xml:space="preserve">ное значение поселения, Планируемый к размещению, с.п. Русскинская, Мощность трансформаторов, МВ - A: 0,32, Количество трансформаторов: 2, Напряжение, кВ: 6)-1 объект.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</w:t>
            </w:r>
            <w:r>
              <w:rPr>
                <w:sz w:val="18"/>
                <w:szCs w:val="18"/>
              </w:rPr>
              <w:lastRenderedPageBreak/>
              <w:t xml:space="preserve">этажность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11FA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611F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11FA8">
      <w:pPr>
        <w:pStyle w:val="FORMATTEXT"/>
        <w:jc w:val="right"/>
      </w:pPr>
    </w:p>
    <w:p w:rsidR="00000000" w:rsidRDefault="00611FA8">
      <w:pPr>
        <w:pStyle w:val="FORMATTEXT"/>
        <w:jc w:val="right"/>
      </w:pPr>
      <w:r>
        <w:t>Приложение 1</w:t>
      </w:r>
    </w:p>
    <w:p w:rsidR="00000000" w:rsidRDefault="00611FA8">
      <w:pPr>
        <w:pStyle w:val="FORMATTEXT"/>
        <w:jc w:val="right"/>
      </w:pPr>
      <w:r>
        <w:t xml:space="preserve">к Генеральному плану </w:t>
      </w: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>Карта планируем</w:t>
      </w:r>
      <w:r>
        <w:rPr>
          <w:b/>
          <w:bCs/>
        </w:rPr>
        <w:t xml:space="preserve">ого размещения объектов местного значения сельского поселения Русскинская </w:t>
      </w:r>
    </w:p>
    <w:p w:rsidR="00000000" w:rsidRDefault="00611FA8">
      <w:pPr>
        <w:pStyle w:val="FORMATTEXT"/>
        <w:ind w:firstLine="568"/>
        <w:jc w:val="both"/>
      </w:pPr>
      <w:r>
        <w:t xml:space="preserve">(Карта планируемого размещения объектов местного значения сельского поселения Русскинская) </w:t>
      </w:r>
    </w:p>
    <w:p w:rsidR="00000000" w:rsidRDefault="00611FA8">
      <w:pPr>
        <w:pStyle w:val="FORMATTEXT"/>
        <w:jc w:val="right"/>
      </w:pPr>
    </w:p>
    <w:p w:rsidR="00000000" w:rsidRDefault="00611FA8">
      <w:pPr>
        <w:pStyle w:val="FORMATTEXT"/>
        <w:jc w:val="right"/>
      </w:pPr>
      <w:r>
        <w:t>Приложение 2</w:t>
      </w:r>
    </w:p>
    <w:p w:rsidR="00000000" w:rsidRDefault="00611FA8">
      <w:pPr>
        <w:pStyle w:val="FORMATTEXT"/>
        <w:jc w:val="right"/>
      </w:pPr>
      <w:r>
        <w:t xml:space="preserve">к Генеральному плану </w:t>
      </w: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>Карта границ населенных пунктов, входящих в состав</w:t>
      </w:r>
      <w:r>
        <w:rPr>
          <w:b/>
          <w:bCs/>
        </w:rPr>
        <w:t xml:space="preserve"> сельского поселения Русскинская </w:t>
      </w:r>
    </w:p>
    <w:p w:rsidR="00000000" w:rsidRDefault="00611FA8">
      <w:pPr>
        <w:pStyle w:val="FORMATTEXT"/>
        <w:ind w:firstLine="568"/>
        <w:jc w:val="both"/>
      </w:pPr>
      <w:r>
        <w:t xml:space="preserve">(Карта границ населенных пунктов, входящих в состав сельского поселения Русскинская не подлежит включению в регистр) </w:t>
      </w:r>
    </w:p>
    <w:p w:rsidR="00000000" w:rsidRDefault="00611FA8">
      <w:pPr>
        <w:pStyle w:val="FORMATTEXT"/>
        <w:jc w:val="right"/>
      </w:pPr>
    </w:p>
    <w:p w:rsidR="00000000" w:rsidRDefault="00611FA8">
      <w:pPr>
        <w:pStyle w:val="FORMATTEXT"/>
        <w:jc w:val="right"/>
      </w:pPr>
      <w:r>
        <w:t>Приложение 3</w:t>
      </w:r>
    </w:p>
    <w:p w:rsidR="00000000" w:rsidRDefault="00611FA8">
      <w:pPr>
        <w:pStyle w:val="FORMATTEXT"/>
        <w:jc w:val="right"/>
      </w:pPr>
      <w:r>
        <w:t xml:space="preserve">к Генеральному плану </w:t>
      </w:r>
    </w:p>
    <w:p w:rsidR="00000000" w:rsidRDefault="00611FA8">
      <w:pPr>
        <w:pStyle w:val="HEADERTEXT"/>
        <w:rPr>
          <w:b/>
          <w:bCs/>
        </w:rPr>
      </w:pP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11F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Карта функциональных зон сельского поселения Русскинская </w:t>
      </w:r>
    </w:p>
    <w:p w:rsidR="00000000" w:rsidRDefault="00611FA8">
      <w:pPr>
        <w:pStyle w:val="FORMATTEXT"/>
        <w:ind w:firstLine="568"/>
        <w:jc w:val="both"/>
      </w:pPr>
      <w:r>
        <w:t xml:space="preserve">(Карта </w:t>
      </w:r>
      <w:r>
        <w:t xml:space="preserve">функциональных зон сельского поселения Русскинская не подлежит включению в регистр) </w:t>
      </w:r>
    </w:p>
    <w:p w:rsidR="00000000" w:rsidRDefault="00611F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"kodeks://link/d?nd=568273069"\o"’’Об утверждении генерального плана сельского поселения Русскинская Сургутского муниципального района ...’’</w:instrText>
      </w:r>
    </w:p>
    <w:p w:rsidR="00000000" w:rsidRDefault="00611F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Решение Думы Сургут</w:instrText>
      </w:r>
      <w:r>
        <w:rPr>
          <w:rFonts w:ascii="Arial, sans-serif" w:hAnsi="Arial, sans-serif"/>
          <w:sz w:val="24"/>
          <w:szCs w:val="24"/>
        </w:rPr>
        <w:instrText>ского района Ханты-Мансийского автономного округа - Югры от 10.06.2021 N 1143-нпа</w:instrText>
      </w:r>
    </w:p>
    <w:p w:rsidR="00611FA8" w:rsidRDefault="00611F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611699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генерального плана сельского поселения Русскинская Сургутского муниципального района Ханты-Мансийского автономного округа-Югры (Ис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611FA8">
      <w:headerReference w:type="default" r:id="rId6"/>
      <w:footerReference w:type="default" r:id="rId7"/>
      <w:type w:val="continuous"/>
      <w:pgSz w:w="16840" w:h="11907" w:orient="landscape"/>
      <w:pgMar w:top="850" w:right="567" w:bottom="1134" w:left="56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A8" w:rsidRDefault="00611FA8">
      <w:pPr>
        <w:spacing w:after="0" w:line="240" w:lineRule="auto"/>
      </w:pPr>
      <w:r>
        <w:separator/>
      </w:r>
    </w:p>
  </w:endnote>
  <w:endnote w:type="continuationSeparator" w:id="0">
    <w:p w:rsidR="00611FA8" w:rsidRDefault="0061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11FA8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A8" w:rsidRDefault="00611FA8">
      <w:pPr>
        <w:spacing w:after="0" w:line="240" w:lineRule="auto"/>
      </w:pPr>
      <w:r>
        <w:separator/>
      </w:r>
    </w:p>
  </w:footnote>
  <w:footnote w:type="continuationSeparator" w:id="0">
    <w:p w:rsidR="00611FA8" w:rsidRDefault="0061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11FA8">
    <w:pPr>
      <w:pStyle w:val="COLTOP"/>
      <w:rPr>
        <w:rFonts w:cs="Arial, sans-serif"/>
      </w:rPr>
    </w:pPr>
    <w:r>
      <w:rPr>
        <w:rFonts w:cs="Arial, sans-serif"/>
      </w:rPr>
      <w:t>Об утверждении генерального плана сельского поселения Русскинская Сургутского муниципального района Ханты-Манси</w:t>
    </w:r>
    <w:r>
      <w:rPr>
        <w:rFonts w:cs="Arial, sans-serif"/>
      </w:rPr>
      <w:t>йского автономного округа-Югры</w:t>
    </w:r>
  </w:p>
  <w:p w:rsidR="00000000" w:rsidRDefault="00611FA8">
    <w:pPr>
      <w:pStyle w:val="COLTOP"/>
    </w:pPr>
    <w:r>
      <w:rPr>
        <w:rFonts w:cs="Arial, sans-serif"/>
        <w:i/>
        <w:iCs/>
      </w:rPr>
      <w:t>Решение Думы Сургутского района Ханты-Мансийского автономного округа - Югры от 10.06.2021 N 1143-нпа</w:t>
    </w:r>
  </w:p>
  <w:p w:rsidR="00000000" w:rsidRDefault="00611FA8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99"/>
    <w:rsid w:val="00611699"/>
    <w:rsid w:val="006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0A66CC-6EC5-4E2F-A499-2A41B6A6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6775</Words>
  <Characters>38620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генерального плана сельского поселения Русскинская Сургутского муниципального района Ханты-Мансийского автономного округа-Югры </vt:lpstr>
    </vt:vector>
  </TitlesOfParts>
  <Company/>
  <LinksUpToDate>false</LinksUpToDate>
  <CharactersWithSpaces>45305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генерального плана сельского поселения Русскинская Сургутского муниципального района Ханты-Мансийского автономного округа-Югры</dc:title>
  <dc:subject/>
  <dc:creator>1</dc:creator>
  <cp:keywords/>
  <dc:description/>
  <cp:lastModifiedBy>1</cp:lastModifiedBy>
  <cp:revision>2</cp:revision>
  <dcterms:created xsi:type="dcterms:W3CDTF">2022-07-05T10:31:00Z</dcterms:created>
  <dcterms:modified xsi:type="dcterms:W3CDTF">2022-07-05T10:31:00Z</dcterms:modified>
</cp:coreProperties>
</file>